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3EBF280A"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AD4791">
        <w:rPr>
          <w:rFonts w:asciiTheme="minorEastAsia" w:eastAsiaTheme="minorEastAsia" w:hAnsiTheme="minorEastAsia" w:hint="eastAsia"/>
          <w:color w:val="000000" w:themeColor="text1"/>
          <w:sz w:val="24"/>
        </w:rPr>
        <w:t>短波治疗仪</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65611F">
        <w:rPr>
          <w:rFonts w:asciiTheme="minorEastAsia" w:eastAsiaTheme="minorEastAsia" w:hAnsiTheme="minorEastAsia"/>
          <w:color w:val="000000" w:themeColor="text1"/>
          <w:sz w:val="24"/>
        </w:rPr>
        <w:t>10</w:t>
      </w:r>
      <w:r w:rsidRPr="0055508E">
        <w:rPr>
          <w:rFonts w:asciiTheme="minorEastAsia" w:eastAsiaTheme="minorEastAsia" w:hAnsiTheme="minorEastAsia" w:hint="eastAsia"/>
          <w:color w:val="000000" w:themeColor="text1"/>
          <w:sz w:val="24"/>
        </w:rPr>
        <w:t>月</w:t>
      </w:r>
      <w:r w:rsidR="0065611F">
        <w:rPr>
          <w:rFonts w:asciiTheme="minorEastAsia" w:eastAsiaTheme="minorEastAsia" w:hAnsiTheme="minorEastAsia"/>
          <w:color w:val="000000" w:themeColor="text1"/>
          <w:sz w:val="24"/>
        </w:rPr>
        <w:t>1</w:t>
      </w:r>
      <w:r w:rsidR="0084506E">
        <w:rPr>
          <w:rFonts w:asciiTheme="minorEastAsia" w:eastAsiaTheme="minorEastAsia" w:hAnsiTheme="minorEastAsia"/>
          <w:color w:val="000000" w:themeColor="text1"/>
          <w:sz w:val="24"/>
        </w:rPr>
        <w:t>4</w:t>
      </w:r>
      <w:r w:rsidR="0041339D" w:rsidRPr="0055508E">
        <w:rPr>
          <w:rFonts w:asciiTheme="minorEastAsia" w:eastAsiaTheme="minorEastAsia" w:hAnsiTheme="minorEastAsia" w:hint="eastAsia"/>
          <w:color w:val="000000" w:themeColor="text1"/>
          <w:sz w:val="24"/>
        </w:rPr>
        <w:t>日</w:t>
      </w:r>
      <w:r w:rsidR="00466E31">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466E31">
        <w:rPr>
          <w:rFonts w:asciiTheme="minorEastAsia" w:eastAsiaTheme="minorEastAsia" w:hAnsiTheme="minorEastAsia" w:hint="eastAsia"/>
          <w:color w:val="000000" w:themeColor="text1"/>
          <w:sz w:val="24"/>
        </w:rPr>
        <w:t>1</w:t>
      </w:r>
      <w:r w:rsidR="004B101C">
        <w:rPr>
          <w:rFonts w:asciiTheme="minorEastAsia" w:eastAsiaTheme="minorEastAsia" w:hAnsiTheme="minorEastAsia"/>
          <w:color w:val="000000" w:themeColor="text1"/>
          <w:sz w:val="24"/>
        </w:rPr>
        <w:t>4</w:t>
      </w:r>
      <w:r w:rsidR="002453F7" w:rsidRPr="0055508E">
        <w:rPr>
          <w:rFonts w:asciiTheme="minorEastAsia" w:eastAsiaTheme="minorEastAsia" w:hAnsiTheme="minorEastAsia" w:hint="eastAsia"/>
          <w:color w:val="000000" w:themeColor="text1"/>
          <w:sz w:val="24"/>
        </w:rPr>
        <w:t>:</w:t>
      </w:r>
      <w:r w:rsidR="00AD4791">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AD4791">
        <w:rPr>
          <w:rFonts w:asciiTheme="minorEastAsia" w:eastAsiaTheme="minorEastAsia" w:hAnsiTheme="minorEastAsia"/>
          <w:color w:val="000000" w:themeColor="text1"/>
          <w:sz w:val="24"/>
        </w:rPr>
        <w:t>5</w:t>
      </w:r>
      <w:r w:rsidR="00DE01BB">
        <w:rPr>
          <w:rFonts w:asciiTheme="minorEastAsia" w:eastAsiaTheme="minorEastAsia" w:hAnsiTheme="minorEastAsia"/>
          <w:color w:val="000000" w:themeColor="text1"/>
          <w:sz w:val="24"/>
        </w:rPr>
        <w:t>:</w:t>
      </w:r>
      <w:r w:rsidR="00AD4791">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114A1410"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AD4791">
        <w:rPr>
          <w:rFonts w:asciiTheme="minorEastAsia" w:eastAsiaTheme="minorEastAsia" w:hAnsiTheme="minorEastAsia" w:hint="eastAsia"/>
          <w:color w:val="000000" w:themeColor="text1"/>
          <w:sz w:val="24"/>
        </w:rPr>
        <w:t>短波治疗仪</w:t>
      </w:r>
      <w:r w:rsidRPr="0055508E">
        <w:rPr>
          <w:rFonts w:asciiTheme="minorEastAsia" w:eastAsiaTheme="minorEastAsia" w:hAnsiTheme="minorEastAsia" w:hint="eastAsia"/>
          <w:color w:val="000000" w:themeColor="text1"/>
          <w:sz w:val="24"/>
        </w:rPr>
        <w:t>采购</w:t>
      </w:r>
    </w:p>
    <w:p w14:paraId="3046367A" w14:textId="4D9CAB75"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AD4791">
        <w:rPr>
          <w:rFonts w:asciiTheme="minorEastAsia" w:eastAsiaTheme="minorEastAsia" w:hAnsiTheme="minorEastAsia" w:hint="eastAsia"/>
          <w:color w:val="000000" w:themeColor="text1"/>
          <w:sz w:val="24"/>
        </w:rPr>
        <w:t>短波治疗仪</w:t>
      </w:r>
      <w:r w:rsidR="00DE01BB">
        <w:rPr>
          <w:rFonts w:asciiTheme="minorEastAsia" w:eastAsiaTheme="minorEastAsia" w:hAnsiTheme="minorEastAsia"/>
          <w:color w:val="000000" w:themeColor="text1"/>
          <w:sz w:val="24"/>
        </w:rPr>
        <w:t>1</w:t>
      </w:r>
      <w:r w:rsidR="001F6553">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AD4791">
        <w:rPr>
          <w:rFonts w:asciiTheme="minorEastAsia" w:eastAsiaTheme="minorEastAsia" w:hAnsiTheme="minorEastAsia" w:hint="eastAsia"/>
          <w:color w:val="000000" w:themeColor="text1"/>
          <w:sz w:val="24"/>
        </w:rPr>
        <w:t>3</w:t>
      </w:r>
      <w:r w:rsidR="00AD4791">
        <w:rPr>
          <w:rFonts w:asciiTheme="minorEastAsia" w:eastAsiaTheme="minorEastAsia" w:hAnsiTheme="minorEastAsia"/>
          <w:color w:val="000000" w:themeColor="text1"/>
          <w:sz w:val="24"/>
        </w:rPr>
        <w:t>.</w:t>
      </w:r>
      <w:r w:rsidR="004B101C">
        <w:rPr>
          <w:rFonts w:asciiTheme="minorEastAsia" w:eastAsiaTheme="minorEastAsia" w:hAnsiTheme="minorEastAsia"/>
          <w:color w:val="000000" w:themeColor="text1"/>
          <w:sz w:val="24"/>
        </w:rPr>
        <w:t>5</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036FCD42"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411EFB">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7CF502C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411EFB">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4CB66F4E"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411EFB">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52E381F1"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65611F">
        <w:rPr>
          <w:rFonts w:ascii="宋体" w:hAnsi="宋体"/>
          <w:sz w:val="24"/>
        </w:rPr>
        <w:t>10</w:t>
      </w:r>
      <w:r>
        <w:rPr>
          <w:rFonts w:ascii="宋体" w:hAnsi="宋体" w:hint="eastAsia"/>
          <w:sz w:val="24"/>
        </w:rPr>
        <w:t>月</w:t>
      </w:r>
      <w:r w:rsidR="00411EFB">
        <w:rPr>
          <w:rFonts w:ascii="宋体" w:hAnsi="宋体"/>
          <w:sz w:val="24"/>
        </w:rPr>
        <w:t>9</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38A0B880" w:rsidR="00E4330F" w:rsidRPr="0055508E" w:rsidRDefault="00AD4791"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短波治疗仪</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AB2BC4B" w:rsidR="00E4330F" w:rsidRPr="0055508E" w:rsidRDefault="00B90534"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001A68E2" w:rsidR="00E4330F" w:rsidRPr="0055508E" w:rsidRDefault="001F6553"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1C7447D2" w14:textId="1A885737" w:rsidR="0065611F" w:rsidRPr="004B101C" w:rsidRDefault="009544C5" w:rsidP="004B101C">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AD4791">
        <w:rPr>
          <w:rFonts w:asciiTheme="minorEastAsia" w:eastAsiaTheme="minorEastAsia" w:hAnsiTheme="minorEastAsia" w:hint="eastAsia"/>
          <w:b/>
          <w:bCs/>
          <w:color w:val="000000" w:themeColor="text1"/>
          <w:sz w:val="28"/>
          <w:szCs w:val="28"/>
        </w:rPr>
        <w:t>短波治疗仪</w:t>
      </w:r>
      <w:r w:rsidRPr="001F6553">
        <w:rPr>
          <w:rFonts w:asciiTheme="minorEastAsia" w:eastAsiaTheme="minorEastAsia" w:hAnsiTheme="minorEastAsia" w:cs="宋体" w:hint="eastAsia"/>
          <w:b/>
          <w:bCs/>
          <w:color w:val="000000" w:themeColor="text1"/>
          <w:sz w:val="28"/>
          <w:szCs w:val="28"/>
        </w:rPr>
        <w:t>技术规格及要求</w:t>
      </w:r>
    </w:p>
    <w:p w14:paraId="6209041F" w14:textId="77777777" w:rsidR="0084506E" w:rsidRPr="007C2E07" w:rsidRDefault="0084506E" w:rsidP="0084506E">
      <w:pPr>
        <w:rPr>
          <w:rFonts w:asciiTheme="minorEastAsia" w:hAnsiTheme="minorEastAsia" w:cs="宋体"/>
          <w:color w:val="FF0000"/>
          <w:sz w:val="24"/>
        </w:rPr>
      </w:pPr>
    </w:p>
    <w:p w14:paraId="5A1906D2" w14:textId="77777777" w:rsidR="00225D2D" w:rsidRPr="001C74EB" w:rsidRDefault="00225D2D" w:rsidP="00225D2D">
      <w:pPr>
        <w:numPr>
          <w:ilvl w:val="0"/>
          <w:numId w:val="10"/>
        </w:numPr>
        <w:autoSpaceDE w:val="0"/>
        <w:autoSpaceDN w:val="0"/>
        <w:adjustRightInd w:val="0"/>
        <w:spacing w:line="500" w:lineRule="exact"/>
        <w:rPr>
          <w:rFonts w:asciiTheme="minorEastAsia" w:hAnsiTheme="minorEastAsia" w:cs="宋体"/>
          <w:sz w:val="24"/>
        </w:rPr>
      </w:pPr>
      <w:r w:rsidRPr="001C74EB">
        <w:rPr>
          <w:rFonts w:asciiTheme="minorEastAsia" w:hAnsiTheme="minorEastAsia" w:cs="宋体" w:hint="eastAsia"/>
          <w:sz w:val="24"/>
        </w:rPr>
        <w:t>设备名称：短波治疗仪</w:t>
      </w:r>
    </w:p>
    <w:p w14:paraId="0D278141" w14:textId="77777777" w:rsidR="00225D2D" w:rsidRPr="001C74EB" w:rsidRDefault="00225D2D" w:rsidP="00225D2D">
      <w:pPr>
        <w:numPr>
          <w:ilvl w:val="0"/>
          <w:numId w:val="10"/>
        </w:numPr>
        <w:autoSpaceDE w:val="0"/>
        <w:autoSpaceDN w:val="0"/>
        <w:adjustRightInd w:val="0"/>
        <w:spacing w:line="500" w:lineRule="exact"/>
        <w:rPr>
          <w:rFonts w:asciiTheme="minorEastAsia" w:hAnsiTheme="minorEastAsia" w:cs="宋体"/>
          <w:sz w:val="24"/>
        </w:rPr>
      </w:pPr>
      <w:r w:rsidRPr="001C74EB">
        <w:rPr>
          <w:rFonts w:asciiTheme="minorEastAsia" w:hAnsiTheme="minorEastAsia" w:cs="宋体" w:hint="eastAsia"/>
          <w:sz w:val="24"/>
        </w:rPr>
        <w:t>国别产地：国产</w:t>
      </w:r>
    </w:p>
    <w:p w14:paraId="3F9661B8" w14:textId="77777777" w:rsidR="00225D2D" w:rsidRPr="001C74EB" w:rsidRDefault="00225D2D" w:rsidP="00225D2D">
      <w:pPr>
        <w:numPr>
          <w:ilvl w:val="0"/>
          <w:numId w:val="10"/>
        </w:numPr>
        <w:autoSpaceDE w:val="0"/>
        <w:autoSpaceDN w:val="0"/>
        <w:adjustRightInd w:val="0"/>
        <w:spacing w:line="500" w:lineRule="exact"/>
        <w:rPr>
          <w:rFonts w:asciiTheme="minorEastAsia" w:hAnsiTheme="minorEastAsia" w:cs="宋体"/>
          <w:sz w:val="24"/>
        </w:rPr>
      </w:pPr>
      <w:r w:rsidRPr="001C74EB">
        <w:rPr>
          <w:rFonts w:asciiTheme="minorEastAsia" w:hAnsiTheme="minorEastAsia" w:cs="宋体" w:hint="eastAsia"/>
          <w:sz w:val="24"/>
        </w:rPr>
        <w:t>数量：壹套</w:t>
      </w:r>
    </w:p>
    <w:p w14:paraId="072FB826" w14:textId="77777777" w:rsidR="00225D2D" w:rsidRPr="001C74EB" w:rsidRDefault="00225D2D" w:rsidP="00225D2D">
      <w:pPr>
        <w:numPr>
          <w:ilvl w:val="0"/>
          <w:numId w:val="10"/>
        </w:numPr>
        <w:autoSpaceDE w:val="0"/>
        <w:autoSpaceDN w:val="0"/>
        <w:adjustRightInd w:val="0"/>
        <w:spacing w:before="100" w:beforeAutospacing="1" w:after="100" w:afterAutospacing="1" w:line="500" w:lineRule="exact"/>
        <w:ind w:rightChars="50" w:right="105"/>
        <w:jc w:val="left"/>
        <w:rPr>
          <w:rFonts w:asciiTheme="minorEastAsia" w:hAnsiTheme="minorEastAsia" w:cs="宋体"/>
          <w:sz w:val="24"/>
        </w:rPr>
      </w:pPr>
      <w:r w:rsidRPr="001C74EB">
        <w:rPr>
          <w:rFonts w:asciiTheme="minorEastAsia" w:hAnsiTheme="minorEastAsia" w:cs="宋体" w:hint="eastAsia"/>
          <w:sz w:val="24"/>
        </w:rPr>
        <w:t>设备用途说明：</w:t>
      </w:r>
      <w:r w:rsidRPr="001C74EB">
        <w:rPr>
          <w:rFonts w:asciiTheme="minorEastAsia" w:hAnsiTheme="minorEastAsia"/>
          <w:color w:val="333333"/>
          <w:sz w:val="24"/>
        </w:rPr>
        <w:t>利用生物物理方法治疗疾病</w:t>
      </w:r>
      <w:r w:rsidRPr="001C74EB">
        <w:rPr>
          <w:rFonts w:asciiTheme="minorEastAsia" w:hAnsiTheme="minorEastAsia" w:hint="eastAsia"/>
          <w:color w:val="333333"/>
          <w:sz w:val="24"/>
        </w:rPr>
        <w:t>，</w:t>
      </w:r>
      <w:r w:rsidRPr="001C74EB">
        <w:rPr>
          <w:rFonts w:asciiTheme="minorEastAsia" w:hAnsiTheme="minorEastAsia"/>
          <w:color w:val="333333"/>
          <w:sz w:val="24"/>
        </w:rPr>
        <w:t>用于胸腔、腹腔、盆腔等深部组织的亚急性、慢性炎症疾病治疗</w:t>
      </w:r>
      <w:r w:rsidRPr="001C74EB">
        <w:rPr>
          <w:rFonts w:asciiTheme="minorEastAsia" w:hAnsiTheme="minorEastAsia" w:hint="eastAsia"/>
          <w:color w:val="333333"/>
          <w:sz w:val="24"/>
        </w:rPr>
        <w:t>。</w:t>
      </w:r>
    </w:p>
    <w:p w14:paraId="4CB83749" w14:textId="77777777" w:rsidR="00225D2D" w:rsidRPr="001C74EB" w:rsidRDefault="00225D2D" w:rsidP="00225D2D">
      <w:pPr>
        <w:tabs>
          <w:tab w:val="left" w:pos="720"/>
        </w:tabs>
        <w:autoSpaceDE w:val="0"/>
        <w:autoSpaceDN w:val="0"/>
        <w:adjustRightInd w:val="0"/>
        <w:spacing w:before="100" w:beforeAutospacing="1" w:after="100" w:afterAutospacing="1" w:line="500" w:lineRule="exact"/>
        <w:ind w:rightChars="50" w:right="105"/>
        <w:jc w:val="left"/>
        <w:rPr>
          <w:rFonts w:asciiTheme="minorEastAsia" w:hAnsiTheme="minorEastAsia" w:cs="宋体"/>
          <w:sz w:val="24"/>
        </w:rPr>
      </w:pPr>
      <w:r w:rsidRPr="001C74EB">
        <w:rPr>
          <w:rFonts w:asciiTheme="minorEastAsia" w:hAnsiTheme="minorEastAsia" w:cs="宋体"/>
          <w:sz w:val="24"/>
        </w:rPr>
        <w:t>五</w:t>
      </w:r>
      <w:r w:rsidRPr="001C74EB">
        <w:rPr>
          <w:rFonts w:asciiTheme="minorEastAsia" w:hAnsiTheme="minorEastAsia" w:cs="宋体" w:hint="eastAsia"/>
          <w:sz w:val="24"/>
        </w:rPr>
        <w:t>、主要规格及系统概述：</w:t>
      </w:r>
    </w:p>
    <w:p w14:paraId="522DCF2C"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电源：国标电源</w:t>
      </w:r>
    </w:p>
    <w:p w14:paraId="4271BB27"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功率：＜1000</w:t>
      </w:r>
      <w:r>
        <w:rPr>
          <w:rFonts w:asciiTheme="minorEastAsia" w:hAnsiTheme="minorEastAsia" w:cs="宋体" w:hint="eastAsia"/>
          <w:sz w:val="24"/>
        </w:rPr>
        <w:t>瓦</w:t>
      </w:r>
      <w:r w:rsidRPr="001C74EB">
        <w:rPr>
          <w:rFonts w:asciiTheme="minorEastAsia" w:hAnsiTheme="minorEastAsia" w:cs="宋体" w:hint="eastAsia"/>
          <w:sz w:val="24"/>
        </w:rPr>
        <w:t>。</w:t>
      </w:r>
    </w:p>
    <w:p w14:paraId="20259DCA"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工作频率：40.68MHz</w:t>
      </w:r>
      <w:r>
        <w:rPr>
          <w:rFonts w:asciiTheme="minorEastAsia" w:hAnsiTheme="minorEastAsia" w:cs="宋体" w:hint="eastAsia"/>
          <w:sz w:val="24"/>
        </w:rPr>
        <w:t>，控制误差</w:t>
      </w:r>
      <w:r w:rsidRPr="001C74EB">
        <w:rPr>
          <w:rFonts w:asciiTheme="minorEastAsia" w:hAnsiTheme="minorEastAsia" w:cs="宋体" w:hint="eastAsia"/>
          <w:sz w:val="24"/>
        </w:rPr>
        <w:t>±1.5%。</w:t>
      </w:r>
    </w:p>
    <w:p w14:paraId="5E2300F5"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输出功率连续可调：最大200W，多档可选。</w:t>
      </w:r>
    </w:p>
    <w:p w14:paraId="7FE8A824"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治疗时间可调：0～99min，误差≤1min。</w:t>
      </w:r>
    </w:p>
    <w:p w14:paraId="1B8777EC"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调谐方式：旋钮式输出回路</w:t>
      </w:r>
      <w:r>
        <w:rPr>
          <w:rFonts w:asciiTheme="minorEastAsia" w:hAnsiTheme="minorEastAsia" w:cs="宋体" w:hint="eastAsia"/>
          <w:sz w:val="24"/>
        </w:rPr>
        <w:t>、</w:t>
      </w:r>
      <w:r w:rsidRPr="001C74EB">
        <w:rPr>
          <w:rFonts w:asciiTheme="minorEastAsia" w:hAnsiTheme="minorEastAsia" w:cs="宋体" w:hint="eastAsia"/>
          <w:sz w:val="24"/>
        </w:rPr>
        <w:t>谐振频率调谐。</w:t>
      </w:r>
    </w:p>
    <w:p w14:paraId="3710628A"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输出模式：连续波输出、断续波输出、脉冲波输出。</w:t>
      </w:r>
    </w:p>
    <w:p w14:paraId="0AA11EC1"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断续输出：输出频率10～200Hz，步进10Hz，误差±10%。</w:t>
      </w:r>
    </w:p>
    <w:p w14:paraId="622584B0"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脉冲输出：脉冲宽度200～1000us，步进50us，误差±10%。</w:t>
      </w:r>
    </w:p>
    <w:p w14:paraId="54604514"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显示装置：液晶屏，治疗参数和设备状态可显示。</w:t>
      </w:r>
    </w:p>
    <w:p w14:paraId="0C46F4BF"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按钮控制：</w:t>
      </w:r>
      <w:r>
        <w:rPr>
          <w:rFonts w:asciiTheme="minorEastAsia" w:hAnsiTheme="minorEastAsia" w:cs="宋体" w:hint="eastAsia"/>
          <w:sz w:val="24"/>
        </w:rPr>
        <w:t>＞</w:t>
      </w:r>
      <w:r w:rsidRPr="001C74EB">
        <w:rPr>
          <w:rFonts w:asciiTheme="minorEastAsia" w:hAnsiTheme="minorEastAsia" w:cs="宋体" w:hint="eastAsia"/>
          <w:sz w:val="24"/>
        </w:rPr>
        <w:t>7.0寸触摸屏</w:t>
      </w:r>
      <w:r>
        <w:rPr>
          <w:rFonts w:asciiTheme="minorEastAsia" w:hAnsiTheme="minorEastAsia" w:cs="宋体" w:hint="eastAsia"/>
          <w:sz w:val="24"/>
        </w:rPr>
        <w:t>控制</w:t>
      </w:r>
      <w:r w:rsidRPr="001C74EB">
        <w:rPr>
          <w:rFonts w:asciiTheme="minorEastAsia" w:hAnsiTheme="minorEastAsia" w:cs="宋体" w:hint="eastAsia"/>
          <w:sz w:val="24"/>
        </w:rPr>
        <w:t>。</w:t>
      </w:r>
    </w:p>
    <w:p w14:paraId="19280D1E"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操作提示：</w:t>
      </w:r>
      <w:r>
        <w:rPr>
          <w:rFonts w:asciiTheme="minorEastAsia" w:hAnsiTheme="minorEastAsia" w:cs="宋体" w:hint="eastAsia"/>
          <w:sz w:val="24"/>
        </w:rPr>
        <w:t>具有</w:t>
      </w:r>
      <w:r w:rsidRPr="001C74EB">
        <w:rPr>
          <w:rFonts w:asciiTheme="minorEastAsia" w:hAnsiTheme="minorEastAsia" w:cs="宋体" w:hint="eastAsia"/>
          <w:sz w:val="24"/>
        </w:rPr>
        <w:t>操作有提示音。</w:t>
      </w:r>
    </w:p>
    <w:p w14:paraId="308C078C"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输出电极：具有大、中、小尺寸电极。</w:t>
      </w:r>
    </w:p>
    <w:p w14:paraId="070A62ED"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输出导线：</w:t>
      </w:r>
      <w:r>
        <w:rPr>
          <w:rFonts w:asciiTheme="minorEastAsia" w:hAnsiTheme="minorEastAsia" w:cs="宋体" w:hint="eastAsia"/>
          <w:sz w:val="24"/>
        </w:rPr>
        <w:t>优质铜芯</w:t>
      </w:r>
      <w:r w:rsidRPr="001C74EB">
        <w:rPr>
          <w:rFonts w:asciiTheme="minorEastAsia" w:hAnsiTheme="minorEastAsia" w:cs="宋体" w:hint="eastAsia"/>
          <w:sz w:val="24"/>
        </w:rPr>
        <w:t>电缆。</w:t>
      </w:r>
    </w:p>
    <w:p w14:paraId="3481C224"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场强指示：具备场强指示，指示电极板输出功率分布和强弱。</w:t>
      </w:r>
    </w:p>
    <w:p w14:paraId="7101A0B6" w14:textId="77777777" w:rsidR="00225D2D" w:rsidRPr="001C74EB" w:rsidRDefault="00225D2D" w:rsidP="00225D2D">
      <w:pPr>
        <w:jc w:val="left"/>
        <w:rPr>
          <w:rFonts w:asciiTheme="minorEastAsia" w:hAnsiTheme="minorEastAsia" w:cs="宋体"/>
          <w:sz w:val="24"/>
        </w:rPr>
      </w:pPr>
      <w:r w:rsidRPr="001C74EB">
        <w:rPr>
          <w:rFonts w:asciiTheme="minorEastAsia" w:hAnsiTheme="minorEastAsia" w:cs="宋体" w:hint="eastAsia"/>
          <w:sz w:val="24"/>
        </w:rPr>
        <w:t>电流指示：最大量程</w:t>
      </w:r>
      <w:r>
        <w:rPr>
          <w:rFonts w:asciiTheme="minorEastAsia" w:hAnsiTheme="minorEastAsia" w:cs="宋体" w:hint="eastAsia"/>
          <w:sz w:val="24"/>
        </w:rPr>
        <w:t>≥</w:t>
      </w:r>
      <w:r w:rsidRPr="001C74EB">
        <w:rPr>
          <w:rFonts w:asciiTheme="minorEastAsia" w:hAnsiTheme="minorEastAsia" w:cs="宋体" w:hint="eastAsia"/>
          <w:sz w:val="24"/>
        </w:rPr>
        <w:t>300mA，精度≥2.5级。</w:t>
      </w:r>
    </w:p>
    <w:p w14:paraId="667F6AD0" w14:textId="77777777" w:rsidR="00225D2D" w:rsidRPr="001C74EB" w:rsidRDefault="00225D2D" w:rsidP="00225D2D">
      <w:pPr>
        <w:rPr>
          <w:rFonts w:asciiTheme="minorEastAsia" w:hAnsiTheme="minorEastAsia" w:cs="宋体"/>
          <w:sz w:val="24"/>
        </w:rPr>
      </w:pPr>
      <w:r w:rsidRPr="001C74EB">
        <w:rPr>
          <w:rFonts w:asciiTheme="minorEastAsia" w:hAnsiTheme="minorEastAsia" w:cs="宋体" w:hint="eastAsia"/>
          <w:sz w:val="24"/>
        </w:rPr>
        <w:t>执行标准：国家相关行业标准</w:t>
      </w:r>
    </w:p>
    <w:p w14:paraId="4131A1C7" w14:textId="77777777" w:rsidR="00225D2D" w:rsidRPr="001C74EB" w:rsidRDefault="00225D2D" w:rsidP="00225D2D">
      <w:pPr>
        <w:rPr>
          <w:rFonts w:asciiTheme="minorEastAsia" w:hAnsiTheme="minorEastAsia"/>
          <w:sz w:val="24"/>
        </w:rPr>
      </w:pPr>
      <w:r w:rsidRPr="001C74EB">
        <w:rPr>
          <w:rFonts w:asciiTheme="minorEastAsia" w:hAnsiTheme="minorEastAsia" w:cs="宋体" w:hint="eastAsia"/>
          <w:sz w:val="24"/>
        </w:rPr>
        <w:t>质保期≥两年</w:t>
      </w:r>
    </w:p>
    <w:p w14:paraId="2101CB8E" w14:textId="2E12A5ED" w:rsidR="0065611F" w:rsidRPr="00B90534" w:rsidRDefault="0065611F">
      <w:pPr>
        <w:rPr>
          <w:rFonts w:ascii="宋体" w:hAnsi="宋体"/>
          <w:sz w:val="24"/>
        </w:rPr>
        <w:sectPr w:rsidR="0065611F" w:rsidRPr="00B90534"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3A01" w14:textId="77777777" w:rsidR="00C47C8C" w:rsidRDefault="00C47C8C" w:rsidP="00E4330F">
      <w:r>
        <w:separator/>
      </w:r>
    </w:p>
  </w:endnote>
  <w:endnote w:type="continuationSeparator" w:id="0">
    <w:p w14:paraId="3441FF23" w14:textId="77777777" w:rsidR="00C47C8C" w:rsidRDefault="00C47C8C"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BD0B" w14:textId="77777777" w:rsidR="00C47C8C" w:rsidRDefault="00C47C8C" w:rsidP="00E4330F">
      <w:r>
        <w:separator/>
      </w:r>
    </w:p>
  </w:footnote>
  <w:footnote w:type="continuationSeparator" w:id="0">
    <w:p w14:paraId="4C805BF8" w14:textId="77777777" w:rsidR="00C47C8C" w:rsidRDefault="00C47C8C"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9"/>
  </w:num>
  <w:num w:numId="2">
    <w:abstractNumId w:val="3"/>
  </w:num>
  <w:num w:numId="3">
    <w:abstractNumId w:val="5"/>
  </w:num>
  <w:num w:numId="4">
    <w:abstractNumId w:val="2"/>
  </w:num>
  <w:num w:numId="5">
    <w:abstractNumId w:val="4"/>
  </w:num>
  <w:num w:numId="6">
    <w:abstractNumId w:val="0"/>
  </w:num>
  <w:num w:numId="7">
    <w:abstractNumId w:val="10"/>
  </w:num>
  <w:num w:numId="8">
    <w:abstractNumId w:val="7"/>
  </w:num>
  <w:num w:numId="9">
    <w:abstractNumId w:val="6"/>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41332"/>
    <w:rsid w:val="00077FB1"/>
    <w:rsid w:val="00081B94"/>
    <w:rsid w:val="00083A07"/>
    <w:rsid w:val="000909F4"/>
    <w:rsid w:val="00091D0B"/>
    <w:rsid w:val="000D1EAA"/>
    <w:rsid w:val="0010482F"/>
    <w:rsid w:val="00123E0C"/>
    <w:rsid w:val="00126AE8"/>
    <w:rsid w:val="0013207A"/>
    <w:rsid w:val="001342EC"/>
    <w:rsid w:val="001356C5"/>
    <w:rsid w:val="00164C3D"/>
    <w:rsid w:val="001B0316"/>
    <w:rsid w:val="001B12BA"/>
    <w:rsid w:val="001C02B2"/>
    <w:rsid w:val="001F27F7"/>
    <w:rsid w:val="001F6553"/>
    <w:rsid w:val="00225D2D"/>
    <w:rsid w:val="00235A59"/>
    <w:rsid w:val="002453F7"/>
    <w:rsid w:val="002769A4"/>
    <w:rsid w:val="002F3E9C"/>
    <w:rsid w:val="002F3EB8"/>
    <w:rsid w:val="00300281"/>
    <w:rsid w:val="00313562"/>
    <w:rsid w:val="00367489"/>
    <w:rsid w:val="0037415B"/>
    <w:rsid w:val="00376C36"/>
    <w:rsid w:val="0038788C"/>
    <w:rsid w:val="003E30CC"/>
    <w:rsid w:val="00411EFB"/>
    <w:rsid w:val="0041339D"/>
    <w:rsid w:val="004562BB"/>
    <w:rsid w:val="00466E31"/>
    <w:rsid w:val="004A5ADA"/>
    <w:rsid w:val="004B101C"/>
    <w:rsid w:val="004C0C6E"/>
    <w:rsid w:val="004C4119"/>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3077"/>
    <w:rsid w:val="00634AB5"/>
    <w:rsid w:val="00650726"/>
    <w:rsid w:val="0065611F"/>
    <w:rsid w:val="00660ED9"/>
    <w:rsid w:val="00670E9F"/>
    <w:rsid w:val="006A32BB"/>
    <w:rsid w:val="006B0FC5"/>
    <w:rsid w:val="006C0639"/>
    <w:rsid w:val="006D7B9E"/>
    <w:rsid w:val="006F71F3"/>
    <w:rsid w:val="007431EF"/>
    <w:rsid w:val="0075650C"/>
    <w:rsid w:val="00780A02"/>
    <w:rsid w:val="007A31FF"/>
    <w:rsid w:val="007A6B26"/>
    <w:rsid w:val="007B7CA3"/>
    <w:rsid w:val="007E1062"/>
    <w:rsid w:val="007E4102"/>
    <w:rsid w:val="008161BD"/>
    <w:rsid w:val="008329F6"/>
    <w:rsid w:val="0084506E"/>
    <w:rsid w:val="00883C09"/>
    <w:rsid w:val="008D6D37"/>
    <w:rsid w:val="00936166"/>
    <w:rsid w:val="00953011"/>
    <w:rsid w:val="009544C5"/>
    <w:rsid w:val="009733CB"/>
    <w:rsid w:val="009851D4"/>
    <w:rsid w:val="00A338F5"/>
    <w:rsid w:val="00A53E90"/>
    <w:rsid w:val="00A56AB6"/>
    <w:rsid w:val="00A75D0C"/>
    <w:rsid w:val="00A76783"/>
    <w:rsid w:val="00A768B6"/>
    <w:rsid w:val="00A7755C"/>
    <w:rsid w:val="00A8046C"/>
    <w:rsid w:val="00A876F8"/>
    <w:rsid w:val="00AB4889"/>
    <w:rsid w:val="00AC5FDD"/>
    <w:rsid w:val="00AD4791"/>
    <w:rsid w:val="00B14963"/>
    <w:rsid w:val="00B263F2"/>
    <w:rsid w:val="00B35C5C"/>
    <w:rsid w:val="00B667E0"/>
    <w:rsid w:val="00B7183B"/>
    <w:rsid w:val="00B73F0E"/>
    <w:rsid w:val="00B81202"/>
    <w:rsid w:val="00B90534"/>
    <w:rsid w:val="00B9455F"/>
    <w:rsid w:val="00BB7E30"/>
    <w:rsid w:val="00BF2F27"/>
    <w:rsid w:val="00C033F0"/>
    <w:rsid w:val="00C15017"/>
    <w:rsid w:val="00C157C6"/>
    <w:rsid w:val="00C23548"/>
    <w:rsid w:val="00C34E37"/>
    <w:rsid w:val="00C46183"/>
    <w:rsid w:val="00C47C8C"/>
    <w:rsid w:val="00C712BC"/>
    <w:rsid w:val="00C979A9"/>
    <w:rsid w:val="00CB356F"/>
    <w:rsid w:val="00D0061C"/>
    <w:rsid w:val="00D07E78"/>
    <w:rsid w:val="00D23117"/>
    <w:rsid w:val="00D45C82"/>
    <w:rsid w:val="00D53F15"/>
    <w:rsid w:val="00DA1281"/>
    <w:rsid w:val="00DE01BB"/>
    <w:rsid w:val="00E0279C"/>
    <w:rsid w:val="00E4330F"/>
    <w:rsid w:val="00EC5F43"/>
    <w:rsid w:val="00EC7A7B"/>
    <w:rsid w:val="00ED050D"/>
    <w:rsid w:val="00EE2985"/>
    <w:rsid w:val="00EF2AB0"/>
    <w:rsid w:val="00EF4277"/>
    <w:rsid w:val="00EF50F2"/>
    <w:rsid w:val="00F14A2C"/>
    <w:rsid w:val="00F27C3E"/>
    <w:rsid w:val="00F402B7"/>
    <w:rsid w:val="00F60D52"/>
    <w:rsid w:val="00FC4A15"/>
    <w:rsid w:val="00FD1579"/>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13</Pages>
  <Words>936</Words>
  <Characters>5337</Characters>
  <Application>Microsoft Office Word</Application>
  <DocSecurity>0</DocSecurity>
  <Lines>44</Lines>
  <Paragraphs>12</Paragraphs>
  <ScaleCrop>false</ScaleCrop>
  <Company>中国石油大学</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80</cp:revision>
  <dcterms:created xsi:type="dcterms:W3CDTF">2018-11-29T06:53:00Z</dcterms:created>
  <dcterms:modified xsi:type="dcterms:W3CDTF">2021-10-09T00:11:00Z</dcterms:modified>
</cp:coreProperties>
</file>